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41D8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5761D" w:rsidP="00CD16E8">
            <w:pPr>
              <w:jc w:val="both"/>
            </w:pPr>
            <w:r>
              <w:t>30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 w:rsidR="00583F22">
              <w:t xml:space="preserve"> </w:t>
            </w:r>
            <w:r w:rsidR="00FB0844">
              <w:t>582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35761D">
                    <w:rPr>
                      <w:kern w:val="2"/>
                      <w:szCs w:val="28"/>
                    </w:rPr>
                    <w:t>35:13:0102005:247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35761D">
        <w:rPr>
          <w:szCs w:val="28"/>
        </w:rPr>
        <w:t>площадью 800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35761D">
        <w:rPr>
          <w:szCs w:val="28"/>
        </w:rPr>
        <w:t>35:13:0102005:24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35761D">
        <w:rPr>
          <w:szCs w:val="28"/>
        </w:rPr>
        <w:t>Ногинский с/с, деревня Ногинская</w:t>
      </w:r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8A" w:rsidRDefault="00D41D8A" w:rsidP="00C14624">
      <w:r>
        <w:separator/>
      </w:r>
    </w:p>
  </w:endnote>
  <w:endnote w:type="continuationSeparator" w:id="0">
    <w:p w:rsidR="00D41D8A" w:rsidRDefault="00D41D8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8A" w:rsidRDefault="00D41D8A" w:rsidP="00C14624">
      <w:r>
        <w:separator/>
      </w:r>
    </w:p>
  </w:footnote>
  <w:footnote w:type="continuationSeparator" w:id="0">
    <w:p w:rsidR="00D41D8A" w:rsidRDefault="00D41D8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B0844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5761D"/>
    <w:rsid w:val="00360D3F"/>
    <w:rsid w:val="003649B2"/>
    <w:rsid w:val="003733E0"/>
    <w:rsid w:val="0038269A"/>
    <w:rsid w:val="00383CD8"/>
    <w:rsid w:val="00391563"/>
    <w:rsid w:val="003A0A68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1D8A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0844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99</cp:revision>
  <cp:lastPrinted>2024-07-30T13:03:00Z</cp:lastPrinted>
  <dcterms:created xsi:type="dcterms:W3CDTF">2023-02-01T11:43:00Z</dcterms:created>
  <dcterms:modified xsi:type="dcterms:W3CDTF">2024-07-30T13:06:00Z</dcterms:modified>
</cp:coreProperties>
</file>